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  <w:gridCol w:w="2125"/>
        <w:gridCol w:w="141"/>
      </w:tblGrid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OŠ Antuna Gustava Matoša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Datum: 30.01.2026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Vrijeme: 09:23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Trg kardinala Franje Kuharića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33514 Čačinci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OIB: 26206678669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318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Plan proračuna za 2026.godinu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05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OPĆI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36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4493" w:hRule="atLeast"/>
              </w:trPr>
              <w:tc>
                <w:tcPr>
                  <w:tcW w:w="10488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88"/>
                  </w:tblGrid>
                  <w:tr>
                    <w:trPr>
                      <w:trHeight w:val="4493" w:hRule="atLeast"/>
                    </w:trPr>
                    <w:tc>
                      <w:tcPr>
                        <w:tcW w:w="10488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00"/>
                          <w:gridCol w:w="6661"/>
                          <w:gridCol w:w="2125"/>
                        </w:tblGrid>
                        <w:tr>
                          <w:trPr>
                            <w:trHeight w:val="219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PLANIRANO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910.471,00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državnog proračuna proračunskim korisnicima proračuna JLP(R)S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918.454,00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63613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proračunskim korisnicima iz proračuna JLP(R)S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63622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pomoći iz državnog proračuna proračunskim korisnicima proračuna JLP(R)S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6.500,00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63811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državnog proračuna temeljem prijenosa EU sredstava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63812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proračuna JLP(R)S temeljem prijenosa EU sredstava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63931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Tekući prijenosi između proračunskih korisnika istog proračuna temeljem prijenosa EU sredstava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21.317,00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64132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Kamate na depozite po viđenju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Sufinanciranje cijene usluge, participacije i slično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28.000,00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65269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nespomenuti prihodi po posebnim propisima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66151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5.000,00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66313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donacije od trgovačkih društava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66314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donacije od ostalih subjekata izvan općeg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66322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donacije od neprofitnih organizacija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72119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stambeni objekti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92211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Višak prihoda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0,00</w:t>
                              </w:r>
                            </w:p>
                          </w:tc>
                        </w:tr>
                        <w:tr>
                          <w:trPr>
                            <w:trHeight w:val="246" w:hRule="atLeast"/>
                          </w:trPr>
                          <w:tc>
                            <w:tcPr>
                              <w:tcW w:w="170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92221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Manjak prihoda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-69.000,00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488"/>
        <w:gridCol w:w="141"/>
      </w:tblGrid>
      <w:tr>
        <w:trPr>
          <w:trHeight w:val="425" w:hRule="atLeast"/>
        </w:trPr>
        <w:tc>
          <w:tcPr>
            <w:tcW w:w="1048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48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0"/>
              <w:gridCol w:w="6661"/>
              <w:gridCol w:w="2125"/>
            </w:tblGrid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BROJ KONTA</w:t>
                  </w:r>
                </w:p>
              </w:tc>
              <w:tc>
                <w:tcPr>
                  <w:tcW w:w="666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VRSTA RASHODA / IZDATKA</w:t>
                  </w:r>
                </w:p>
              </w:tc>
              <w:tc>
                <w:tcPr>
                  <w:tcW w:w="212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PLANIRANO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SVEUKUPNO RASHODI / IZDACI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966.594,00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710.683,00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Nagrade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2.160,00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Darovi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31215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bolest, invalidnost i smrtni slučaj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31216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Regres za godišnji odmor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nenavedeni rashodi za zaposlene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115.384,00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Dnevnice za službeni put u zemlji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smještaj na službenom putu u zemlji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32115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službenom putu u zemlji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posao i s posla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Seminari, savjetovanja i simpoziji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Tečajevi i stručni ispiti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Literatura (publikacije, časopisi, glasila, knjige i ostalo)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Arhivski materijal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materijal za potrebe redovnog poslovanja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32224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Namirnice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Električna energija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Plin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27.384,00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32234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Motorni benzin i dizel gorivo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materijali za proizvodnju energije (ugljen, drva, teško ulje)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dijelovi za tekuće i investicijsko održavanje građevinskih objekata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32244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Sitni inventar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telefaksa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Poštarina (pisma, tiskanice i sl.)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za komunikaciju i prijevoz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građevinskih objekata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postrojenja i opreme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Opskrba vodom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Iznošenje i odvoz smeća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komunalne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32359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zakupnine i najamnine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Obvezni i preventivni zdravstveni pregledi zaposlenika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Laboratorijske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zdravstvene i veterinarske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Ugovori o djelu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intelektualne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računalne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4.098,00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Grafičke i tiskarske usluge, usluge kopiranja i uvezivanja i slično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nespomenute usluge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32955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Novčana naknada poslodavca zbog nezapošljavanja osoba s invaliditetom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2.504,00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pristojbe i naknade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1.004,00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banaka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platnog prometa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34349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financijski rashodi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naknade iz proračuna u novcu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37224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Prehrana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naknade iz proračuna u naravi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38129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tekuće donacije u naravi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Računala i računalna oprema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42212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namještaj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Sportska oprema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Oprema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42411</w:t>
                  </w:r>
                </w:p>
              </w:tc>
              <w:tc>
                <w:tcPr>
                  <w:tcW w:w="66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</w:t>
                  </w:r>
                </w:p>
              </w:tc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6.500,00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700"/>
      <w:gridCol w:w="1275"/>
      <w:gridCol w:w="5244"/>
      <w:gridCol w:w="708"/>
      <w:gridCol w:w="1474"/>
      <w:gridCol w:w="85"/>
      <w:gridCol w:w="141"/>
    </w:tblGrid>
    <w:tr>
      <w:trPr/>
      <w:tc>
        <w:tcPr>
          <w:tcW w:w="17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70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00"/>
          </w:tblGrid>
          <w:tr>
            <w:trPr>
              <w:trHeight w:val="205" w:hRule="atLeast"/>
            </w:trPr>
            <w:tc>
              <w:tcPr>
                <w:tcW w:w="17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7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244"/>
          </w:tblGrid>
          <w:tr>
            <w:trPr>
              <w:trHeight w:val="205" w:hRule="atLeast"/>
            </w:trPr>
            <w:tc>
              <w:tcPr>
                <w:tcW w:w="524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LCW147_IspisPlanProracuna</dc:title>
</cp:coreProperties>
</file>